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acustico: Autorizzazione in deroga per manifestazioni temporanee rumoros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le richieste di autorizzazione in deroga per manifestazioni temporanee rumorose ( cantieri, luna-park, circhi, manifestazioni musicali, teatrali e sportive, manifestazioni popolari, altre attivita' con carattere temporane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. 447/1995 - D.P.C.M. 14 novembre 1997 - Determinazione dei valori limite delle sorgenti sonore - Legge regionale - Regolamento di attuazione del Piano comunale di Zonizzazione Acu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